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0" w:lineRule="auto"/>
        <w:ind w:left="-15.999999999999943" w:right="-14.000000000000057" w:firstLine="0"/>
        <w:jc w:val="left"/>
        <w:rPr>
          <w:b w:val="1"/>
          <w:color w:val="1c4587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3570.0" w:type="dxa"/>
        <w:jc w:val="right"/>
        <w:tblLayout w:type="fixed"/>
        <w:tblLook w:val="0600"/>
      </w:tblPr>
      <w:tblGrid>
        <w:gridCol w:w="390"/>
        <w:gridCol w:w="3180"/>
        <w:tblGridChange w:id="0">
          <w:tblGrid>
            <w:gridCol w:w="390"/>
            <w:gridCol w:w="31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674ea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widowControl w:val="0"/>
              <w:spacing w:after="0" w:lineRule="auto"/>
              <w:ind w:right="0"/>
              <w:jc w:val="center"/>
              <w:rPr>
                <w:b w:val="1"/>
                <w:color w:val="ffffff"/>
                <w:sz w:val="30"/>
                <w:szCs w:val="30"/>
              </w:rPr>
            </w:pPr>
            <w:r w:rsidDel="00000000" w:rsidR="00000000" w:rsidRPr="00000000">
              <w:rPr>
                <w:b w:val="1"/>
                <w:color w:val="ffffff"/>
                <w:sz w:val="30"/>
                <w:szCs w:val="30"/>
                <w:rtl w:val="0"/>
              </w:rPr>
              <w:t xml:space="preserve">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widowControl w:val="0"/>
              <w:spacing w:after="0" w:lineRule="auto"/>
              <w:ind w:right="0"/>
              <w:jc w:val="center"/>
              <w:rPr>
                <w:b w:val="1"/>
                <w:color w:val="674ea7"/>
                <w:sz w:val="16"/>
                <w:szCs w:val="16"/>
              </w:rPr>
            </w:pPr>
            <w:r w:rsidDel="00000000" w:rsidR="00000000" w:rsidRPr="00000000">
              <w:rPr>
                <w:b w:val="1"/>
                <w:color w:val="1c4587"/>
                <w:sz w:val="30"/>
                <w:szCs w:val="3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color w:val="674ea7"/>
                <w:sz w:val="30"/>
                <w:szCs w:val="30"/>
                <w:rtl w:val="0"/>
              </w:rPr>
              <w:t xml:space="preserve">K T E R A C I J A </w:t>
            </w:r>
            <w:r w:rsidDel="00000000" w:rsidR="00000000" w:rsidRPr="00000000">
              <w:rPr>
                <w:b w:val="1"/>
                <w:color w:val="674ea7"/>
                <w:sz w:val="18"/>
                <w:szCs w:val="18"/>
                <w:rtl w:val="0"/>
              </w:rPr>
              <w:t xml:space="preserve">d. o. 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pageBreakBefore w:val="0"/>
        <w:spacing w:after="200" w:lineRule="auto"/>
        <w:ind w:left="-15.999999999999943" w:right="-14.000000000000057" w:firstLine="0"/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ind w:left="-15.999999999999943" w:right="-14.000000000000057" w:firstLine="0"/>
        <w:rPr>
          <w:b w:val="1"/>
          <w:color w:val="1c4587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ind w:left="-90" w:right="-90" w:firstLine="0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ind w:left="-90" w:right="-90"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ind w:left="-90" w:right="-90" w:firstLine="0"/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after="160" w:line="240" w:lineRule="auto"/>
        <w:ind w:left="-90" w:right="-90" w:firstLine="0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ind w:left="-90" w:right="-90" w:firstLine="0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ind w:left="-90" w:right="-90" w:firstLine="0"/>
        <w:jc w:val="left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UPU POSLOVNE ZONE</w:t>
      </w:r>
      <w:r w:rsidDel="00000000" w:rsidR="00000000" w:rsidRPr="00000000">
        <w:rPr>
          <w:rFonts w:ascii="Calibri" w:cs="Calibri" w:eastAsia="Calibri" w:hAnsi="Calibri"/>
          <w:sz w:val="60"/>
          <w:szCs w:val="60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color w:val="674ea7"/>
          <w:sz w:val="96"/>
          <w:szCs w:val="96"/>
          <w:rtl w:val="0"/>
        </w:rPr>
        <w:t xml:space="preserve">METERIZI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ind w:left="-90" w:right="-90" w:firstLine="0"/>
        <w:jc w:val="left"/>
        <w:rPr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-90" w:right="-90" w:firstLine="0"/>
        <w:rPr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-90" w:right="-90" w:firstLine="0"/>
        <w:rPr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lineRule="auto"/>
        <w:ind w:left="-90" w:right="-90" w:firstLine="0"/>
        <w:jc w:val="left"/>
        <w:rPr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pacing w:after="160" w:line="240" w:lineRule="auto"/>
        <w:ind w:left="-90" w:right="-90" w:firstLine="0"/>
        <w:jc w:val="both"/>
        <w:rPr>
          <w:b w:val="1"/>
          <w:i w:val="1"/>
          <w:color w:val="0000f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after="160" w:line="240" w:lineRule="auto"/>
        <w:ind w:left="-90" w:right="-90" w:firstLine="0"/>
        <w:jc w:val="both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after="200" w:line="240" w:lineRule="auto"/>
        <w:ind w:right="11.999999999999318"/>
        <w:jc w:val="both"/>
        <w:rPr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200" w:line="240" w:lineRule="auto"/>
        <w:ind w:right="11.999999999999318"/>
        <w:jc w:val="both"/>
        <w:rPr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Napomena:</w:t>
      </w:r>
    </w:p>
    <w:p w:rsidR="00000000" w:rsidDel="00000000" w:rsidP="00000000" w:rsidRDefault="00000000" w:rsidRPr="00000000" w14:paraId="00000021">
      <w:pPr>
        <w:spacing w:after="200" w:line="276" w:lineRule="auto"/>
        <w:ind w:right="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sz w:val="20"/>
          <w:szCs w:val="20"/>
          <w:rtl w:val="0"/>
        </w:rPr>
        <w:t xml:space="preserve">Sukladno članku 89. Zakona o prostornom uređenju, izrada i donošenje UPU poslovne zone Meterizi  provodi se u jedinstvenom postupku s izmjenama i dopunama PPUG Metkovića.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00" w:line="276" w:lineRule="auto"/>
        <w:ind w:right="0"/>
        <w:rPr>
          <w:b w:val="1"/>
          <w:sz w:val="20"/>
          <w:szCs w:val="20"/>
        </w:rPr>
      </w:pPr>
      <w:r w:rsidDel="00000000" w:rsidR="00000000" w:rsidRPr="00000000">
        <w:rPr>
          <w:b w:val="1"/>
          <w:color w:val="674ea7"/>
          <w:sz w:val="32"/>
          <w:szCs w:val="32"/>
          <w:rtl w:val="0"/>
        </w:rPr>
        <w:t xml:space="preserve">Sadržaj: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11.999999999999318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Odredbe za provedbu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11.999999999999318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Obrazloženje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11.999999999999318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Ovlaštenja i upisi</w:t>
      </w:r>
    </w:p>
    <w:p w:rsidR="00000000" w:rsidDel="00000000" w:rsidP="00000000" w:rsidRDefault="00000000" w:rsidRPr="00000000" w14:paraId="00000026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Grafički dio:</w:t>
      </w:r>
    </w:p>
    <w:p w:rsidR="00000000" w:rsidDel="00000000" w:rsidP="00000000" w:rsidRDefault="00000000" w:rsidRPr="00000000" w14:paraId="00000027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Kartografski prikazi u mjerilu 1:2000:</w:t>
      </w:r>
    </w:p>
    <w:p w:rsidR="00000000" w:rsidDel="00000000" w:rsidP="00000000" w:rsidRDefault="00000000" w:rsidRPr="00000000" w14:paraId="00000028">
      <w:pPr>
        <w:pageBreakBefore w:val="0"/>
        <w:shd w:fill="ffffff" w:val="clear"/>
        <w:spacing w:after="30" w:line="240" w:lineRule="auto"/>
        <w:ind w:left="720" w:right="0" w:hanging="450"/>
        <w:jc w:val="left"/>
        <w:rPr/>
      </w:pPr>
      <w:r w:rsidDel="00000000" w:rsidR="00000000" w:rsidRPr="00000000">
        <w:rPr>
          <w:rtl w:val="0"/>
        </w:rPr>
        <w:t xml:space="preserve">1.</w:t>
        <w:tab/>
        <w:t xml:space="preserve">Korištenje i namjena površina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30" w:before="0" w:line="240" w:lineRule="auto"/>
        <w:ind w:left="720" w:right="0" w:hanging="450"/>
        <w:jc w:val="left"/>
        <w:rPr/>
      </w:pPr>
      <w:r w:rsidDel="00000000" w:rsidR="00000000" w:rsidRPr="00000000">
        <w:rPr>
          <w:rtl w:val="0"/>
        </w:rPr>
        <w:t xml:space="preserve">2.1. </w:t>
        <w:tab/>
        <w:t xml:space="preserve">Prometna, elektronička komunikacijska i komunalna infrastrukturna mreža – Promet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30" w:before="0" w:line="240" w:lineRule="auto"/>
        <w:ind w:left="720" w:right="0" w:hanging="450"/>
        <w:jc w:val="left"/>
        <w:rPr/>
      </w:pPr>
      <w:r w:rsidDel="00000000" w:rsidR="00000000" w:rsidRPr="00000000">
        <w:rPr>
          <w:rtl w:val="0"/>
        </w:rPr>
        <w:t xml:space="preserve">2.2. </w:t>
        <w:tab/>
        <w:t xml:space="preserve">Prometna, elektronička komunikacijska i komunalna infrastrukturna mreža – Elektronička komunikacijska infrastruktura i elektroenergetika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30" w:before="0" w:line="240" w:lineRule="auto"/>
        <w:ind w:left="720" w:right="0" w:hanging="450"/>
        <w:jc w:val="left"/>
        <w:rPr/>
      </w:pPr>
      <w:r w:rsidDel="00000000" w:rsidR="00000000" w:rsidRPr="00000000">
        <w:rPr>
          <w:rtl w:val="0"/>
        </w:rPr>
        <w:t xml:space="preserve">2.3.</w:t>
        <w:tab/>
        <w:t xml:space="preserve">Prometna, elektronička komunikacijska i komunalna infrastrukturna mreža – Vodoopskrba i odvodnja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30" w:before="0" w:line="240" w:lineRule="auto"/>
        <w:ind w:left="720" w:right="0" w:hanging="450"/>
        <w:jc w:val="left"/>
        <w:rPr/>
      </w:pPr>
      <w:r w:rsidDel="00000000" w:rsidR="00000000" w:rsidRPr="00000000">
        <w:rPr>
          <w:rtl w:val="0"/>
        </w:rPr>
        <w:t xml:space="preserve">3.1.</w:t>
        <w:tab/>
        <w:t xml:space="preserve">Uvjeti korištenja, uređenja i zaštite površina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30" w:before="0" w:line="240" w:lineRule="auto"/>
        <w:ind w:left="720" w:right="0" w:hanging="450"/>
        <w:jc w:val="left"/>
        <w:rPr/>
      </w:pPr>
      <w:r w:rsidDel="00000000" w:rsidR="00000000" w:rsidRPr="00000000">
        <w:rPr>
          <w:rtl w:val="0"/>
        </w:rPr>
        <w:t xml:space="preserve">3.2. </w:t>
        <w:tab/>
        <w:t xml:space="preserve">Zaštita od prirodnih i drugih nesreća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60" w:before="0" w:line="240" w:lineRule="auto"/>
        <w:ind w:left="720" w:right="0" w:hanging="450"/>
        <w:jc w:val="left"/>
        <w:rPr/>
      </w:pPr>
      <w:r w:rsidDel="00000000" w:rsidR="00000000" w:rsidRPr="00000000">
        <w:rPr>
          <w:rtl w:val="0"/>
        </w:rPr>
        <w:t xml:space="preserve">4.</w:t>
        <w:tab/>
        <w:t xml:space="preserve">Uvjeti i način gradnje</w:t>
      </w:r>
    </w:p>
    <w:p w:rsidR="00000000" w:rsidDel="00000000" w:rsidP="00000000" w:rsidRDefault="00000000" w:rsidRPr="00000000" w14:paraId="0000002F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Obvezni prilozi (samo u digitalnom obliku):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Odluka o izradi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Popis sektorskih dokumenata i propisa koje je bilo potrebno poštivati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Zahtjevi iz članka 90. Zakona o prostornom uređenju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Dokaz o dostavi zahtjeva iz članka 90. Zakona o prostornom uređenju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Sažetak za javnu raspravu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Izvješće o javnoj raspravi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Zaključak gradonačelnika o utvrđivanju konačnog prijedloga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115.6692913385832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ind w:hanging="360"/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after="160" w:lineRule="auto"/>
        <w:ind w:right="11.999999999999318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200" w:before="400" w:lineRule="auto"/>
    </w:pPr>
    <w:rPr>
      <w:b w:val="1"/>
      <w:sz w:val="26"/>
      <w:szCs w:val="26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160" w:before="320" w:line="240" w:lineRule="auto"/>
      <w:ind w:right="11.999999999999318"/>
      <w:jc w:val="left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lineRule="auto"/>
    </w:pPr>
    <w:rPr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